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B1" w:rsidRPr="00DE0662" w:rsidRDefault="00DE0662" w:rsidP="00DE0662">
      <w:pPr>
        <w:jc w:val="center"/>
        <w:rPr>
          <w:b/>
        </w:rPr>
      </w:pPr>
      <w:r w:rsidRPr="00DE0662">
        <w:rPr>
          <w:b/>
        </w:rPr>
        <w:t>Conception de nanoparticules à luminescence persistante pour l'imagerie optique in vivo</w:t>
      </w:r>
    </w:p>
    <w:p w:rsidR="00DE0662" w:rsidRDefault="00DE0662" w:rsidP="00DE0662">
      <w:pPr>
        <w:spacing w:line="240" w:lineRule="auto"/>
        <w:jc w:val="center"/>
      </w:pPr>
      <w:r>
        <w:t>Cyrille Richard</w:t>
      </w:r>
    </w:p>
    <w:p w:rsidR="00DE0662" w:rsidRDefault="00DE0662" w:rsidP="00DE0662">
      <w:pPr>
        <w:spacing w:line="240" w:lineRule="auto"/>
        <w:jc w:val="center"/>
      </w:pPr>
      <w:r>
        <w:t>UTCBS, CNRS UMR8258, Faculté de Pharmacie, 4 avenue de l’Observatoire, 75006 Paris</w:t>
      </w:r>
    </w:p>
    <w:p w:rsidR="00DE0662" w:rsidRDefault="00DE0662" w:rsidP="00DE0662">
      <w:pPr>
        <w:spacing w:line="240" w:lineRule="auto"/>
        <w:jc w:val="center"/>
      </w:pPr>
      <w:hyperlink r:id="rId5" w:history="1">
        <w:r w:rsidRPr="000A2FDD">
          <w:rPr>
            <w:rStyle w:val="Lienhypertexte"/>
          </w:rPr>
          <w:t>cyrille.richard@parisdescartes.fr</w:t>
        </w:r>
      </w:hyperlink>
    </w:p>
    <w:p w:rsidR="00DE0662" w:rsidRDefault="00DE0662" w:rsidP="00DE0662">
      <w:pPr>
        <w:spacing w:line="240" w:lineRule="auto"/>
        <w:jc w:val="center"/>
      </w:pPr>
    </w:p>
    <w:p w:rsidR="00DE0662" w:rsidRDefault="00DE0662" w:rsidP="00DE0662">
      <w:pPr>
        <w:spacing w:line="240" w:lineRule="auto"/>
        <w:jc w:val="center"/>
      </w:pPr>
    </w:p>
    <w:p w:rsidR="00DE0662" w:rsidRDefault="00DE0662" w:rsidP="00DE0662">
      <w:pPr>
        <w:pStyle w:val="NormalWeb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derniers développements dans le domaine de l'imagerie optique du petit animal ont permis de voir apparaître plusieurs nouvelles sondes photoniques (1).</w:t>
      </w:r>
    </w:p>
    <w:p w:rsidR="00DE0662" w:rsidRDefault="00DE0662" w:rsidP="00DE0662">
      <w:pPr>
        <w:pStyle w:val="NormalWeb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Notre laboratoire conçoit des nanoparticules dotées de propriétés de luminescence persistante pour l'imagerie optique en temps réel chez le petit animal (2). Comparables à des condensateurs optiques, certains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nanocristaux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sont capables de se charger sous l'effet d'une excitation lumineuse et d'émettre ensuite de la lumière sur une période pouvant aller de quelques minutes à plusieurs heures. Cette propriété de luminescence persistante permet une détection optique de la sonde à travers les tissus sans phénomène d'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autofluorescence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DE0662" w:rsidRDefault="00DE0662" w:rsidP="00DE0662">
      <w:pPr>
        <w:pStyle w:val="NormalWeb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Nous rapporterons la synthèse et les propriétés optiques de ces sondes ré-excitables in situ à travers les tissus biologiques permettant un suivi in vivo sans contrainte de temps (3). Nous présenterons des exemples de fonctionnalisation de surface et d'utilisation de cette sonde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nanoparticulaire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pour imager la vascularisation (4) ou des tumeurs (5) chez la souris.</w:t>
      </w:r>
    </w:p>
    <w:p w:rsidR="00DE0662" w:rsidRDefault="00DE0662" w:rsidP="00DE0662">
      <w:pPr>
        <w:pStyle w:val="NormalWeb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Nous montrerons également comment la composition ou la surface de ces nanoparticules peut être modifiée pour rajouter une modalité d'imagerie complémentaire (5) ou pour leur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conférer d'autres propriétés pour des applications in vivo (6-7).</w:t>
      </w: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  <w:u w:val="single"/>
        </w:rPr>
        <w:t>Références</w:t>
      </w:r>
      <w:proofErr w:type="gramEnd"/>
      <w:r>
        <w:rPr>
          <w:rFonts w:ascii="Arial" w:hAnsi="Arial" w:cs="Arial"/>
          <w:color w:val="000000"/>
          <w:sz w:val="18"/>
          <w:szCs w:val="18"/>
          <w:u w:val="single"/>
        </w:rPr>
        <w:t> :</w:t>
      </w: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Nature 2008; 452, 580-589</w:t>
      </w: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2) Proc.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Natl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Acad.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USA. 2007; 104, 9266-9271</w:t>
      </w:r>
    </w:p>
    <w:p w:rsidR="00DE0662" w:rsidRP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  <w:lang w:val="en-GB"/>
        </w:rPr>
      </w:pPr>
      <w:r w:rsidRPr="00DE0662">
        <w:rPr>
          <w:rFonts w:ascii="Arial" w:hAnsi="Arial" w:cs="Arial"/>
          <w:color w:val="000000"/>
          <w:sz w:val="18"/>
          <w:szCs w:val="18"/>
          <w:lang w:val="en-GB"/>
        </w:rPr>
        <w:t>3) French Patent FR1250846, 2012</w:t>
      </w:r>
    </w:p>
    <w:p w:rsidR="00DE0662" w:rsidRP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  <w:lang w:val="en-GB"/>
        </w:rPr>
      </w:pPr>
      <w:r w:rsidRPr="00DE0662">
        <w:rPr>
          <w:rFonts w:ascii="Arial" w:hAnsi="Arial" w:cs="Arial"/>
          <w:color w:val="000000"/>
          <w:sz w:val="18"/>
          <w:szCs w:val="18"/>
          <w:lang w:val="en-GB"/>
        </w:rPr>
        <w:t xml:space="preserve">4) J Mater </w:t>
      </w:r>
      <w:proofErr w:type="spellStart"/>
      <w:r w:rsidRPr="00DE0662">
        <w:rPr>
          <w:rFonts w:ascii="Arial" w:hAnsi="Arial" w:cs="Arial"/>
          <w:color w:val="000000"/>
          <w:sz w:val="18"/>
          <w:szCs w:val="18"/>
          <w:lang w:val="en-GB"/>
        </w:rPr>
        <w:t>Chem</w:t>
      </w:r>
      <w:proofErr w:type="spellEnd"/>
      <w:r w:rsidRPr="00DE0662">
        <w:rPr>
          <w:rFonts w:ascii="Arial" w:hAnsi="Arial" w:cs="Arial"/>
          <w:color w:val="000000"/>
          <w:sz w:val="18"/>
          <w:szCs w:val="18"/>
          <w:lang w:val="en-GB"/>
        </w:rPr>
        <w:t xml:space="preserve"> B 2015, 3, 4009</w:t>
      </w:r>
    </w:p>
    <w:p w:rsidR="00DE0662" w:rsidRP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  <w:lang w:val="en-GB"/>
        </w:rPr>
      </w:pPr>
      <w:r w:rsidRPr="00DE0662">
        <w:rPr>
          <w:rFonts w:ascii="Arial" w:hAnsi="Arial" w:cs="Arial"/>
          <w:color w:val="000000"/>
          <w:sz w:val="18"/>
          <w:szCs w:val="18"/>
          <w:lang w:val="en-GB"/>
        </w:rPr>
        <w:t>4) Nature Materials 2014, 13, 418-426</w:t>
      </w:r>
    </w:p>
    <w:p w:rsidR="00DE0662" w:rsidRP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  <w:lang w:val="en-GB"/>
        </w:rPr>
      </w:pPr>
      <w:r w:rsidRPr="00DE0662">
        <w:rPr>
          <w:rFonts w:ascii="Arial" w:hAnsi="Arial" w:cs="Arial"/>
          <w:color w:val="000000"/>
          <w:sz w:val="18"/>
          <w:szCs w:val="18"/>
          <w:lang w:val="en-GB"/>
        </w:rPr>
        <w:t xml:space="preserve">5) </w:t>
      </w:r>
      <w:proofErr w:type="spellStart"/>
      <w:r w:rsidRPr="00DE0662">
        <w:rPr>
          <w:rFonts w:ascii="Arial" w:hAnsi="Arial" w:cs="Arial"/>
          <w:color w:val="000000"/>
          <w:sz w:val="18"/>
          <w:szCs w:val="18"/>
          <w:lang w:val="en-GB"/>
        </w:rPr>
        <w:t>Adv</w:t>
      </w:r>
      <w:proofErr w:type="spellEnd"/>
      <w:r w:rsidRPr="00DE0662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DE0662">
        <w:rPr>
          <w:rFonts w:ascii="Arial" w:hAnsi="Arial" w:cs="Arial"/>
          <w:color w:val="000000"/>
          <w:sz w:val="18"/>
          <w:szCs w:val="18"/>
          <w:lang w:val="en-GB"/>
        </w:rPr>
        <w:t>Funct</w:t>
      </w:r>
      <w:proofErr w:type="spellEnd"/>
      <w:r w:rsidRPr="00DE0662">
        <w:rPr>
          <w:rFonts w:ascii="Arial" w:hAnsi="Arial" w:cs="Arial"/>
          <w:color w:val="000000"/>
          <w:sz w:val="18"/>
          <w:szCs w:val="18"/>
          <w:lang w:val="en-GB"/>
        </w:rPr>
        <w:t xml:space="preserve"> Mater 2015, 25, 331-338</w:t>
      </w: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Nanoscale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2014, 6, 13970–13976</w:t>
      </w:r>
    </w:p>
    <w:p w:rsidR="00DE0662" w:rsidRDefault="00DE0662" w:rsidP="00DE0662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 Small 2015, 11, 2696</w:t>
      </w:r>
    </w:p>
    <w:p w:rsidR="00DE0662" w:rsidRDefault="00DE0662" w:rsidP="00DE0662">
      <w:pPr>
        <w:spacing w:line="240" w:lineRule="auto"/>
        <w:jc w:val="center"/>
      </w:pPr>
    </w:p>
    <w:sectPr w:rsidR="00DE0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62"/>
    <w:rsid w:val="003133B1"/>
    <w:rsid w:val="00D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06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06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rille.richard@parisdescart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1</cp:revision>
  <dcterms:created xsi:type="dcterms:W3CDTF">2016-04-13T16:09:00Z</dcterms:created>
  <dcterms:modified xsi:type="dcterms:W3CDTF">2016-04-13T16:12:00Z</dcterms:modified>
</cp:coreProperties>
</file>